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D420C">
        <w:rPr>
          <w:rFonts w:hint="eastAsia"/>
          <w:sz w:val="32"/>
          <w:szCs w:val="32"/>
          <w:lang w:eastAsia="zh-TW"/>
        </w:rPr>
        <w:t>室內設計系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682D70" w:rsidRPr="004E278F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7F1A21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7F1A21" w:rsidRPr="008B3D88" w:rsidRDefault="007F1A21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DD420C">
              <w:rPr>
                <w:rFonts w:hint="eastAsia"/>
                <w:lang w:eastAsia="zh-TW"/>
              </w:rPr>
              <w:t>建築規劃設計人才</w:t>
            </w:r>
          </w:p>
        </w:tc>
        <w:tc>
          <w:tcPr>
            <w:tcW w:w="2835" w:type="dxa"/>
            <w:vMerge w:val="restart"/>
          </w:tcPr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7F1A21" w:rsidRPr="008B3D88" w:rsidRDefault="007F1A21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7F1A21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1.分析建築設計的結構、安全以及環境</w:t>
            </w:r>
          </w:p>
          <w:p w:rsidR="007F1A21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2.必須遵循建築相關法令規範</w:t>
            </w:r>
          </w:p>
          <w:p w:rsidR="007F1A21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3.選用符合工程規格的建材並滿足設計需求</w:t>
            </w:r>
          </w:p>
          <w:p w:rsidR="007F1A21" w:rsidRPr="008B3D88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4.繪製建築設計圖及結構圖</w:t>
            </w:r>
          </w:p>
        </w:tc>
      </w:tr>
      <w:tr w:rsidR="007F1A21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7F1A21" w:rsidRPr="008B3D88" w:rsidRDefault="007F1A21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DD420C">
              <w:rPr>
                <w:rFonts w:hint="eastAsia"/>
                <w:lang w:eastAsia="zh-TW"/>
              </w:rPr>
              <w:t>營造及維護人才</w:t>
            </w:r>
          </w:p>
        </w:tc>
        <w:tc>
          <w:tcPr>
            <w:tcW w:w="2835" w:type="dxa"/>
            <w:vMerge/>
          </w:tcPr>
          <w:p w:rsidR="007F1A21" w:rsidRPr="008B3D88" w:rsidRDefault="007F1A21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7F1A21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1.了解各方的契約關係以及工作流程，並確保專案能成功進行</w:t>
            </w:r>
          </w:p>
          <w:p w:rsidR="007F1A21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2.建立並實施工地安全計畫，以確保工地安全</w:t>
            </w:r>
          </w:p>
          <w:p w:rsidR="007F1A21" w:rsidRPr="008B3D88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3.管理內部與外部的合作廠商，以確保營建工程能夠如期完成</w:t>
            </w:r>
          </w:p>
        </w:tc>
      </w:tr>
      <w:tr w:rsidR="007F1A21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7F1A21" w:rsidRPr="008B3D88" w:rsidRDefault="007F1A21" w:rsidP="00DD420C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DD420C">
              <w:rPr>
                <w:rFonts w:hint="eastAsia"/>
                <w:lang w:eastAsia="zh-TW"/>
              </w:rPr>
              <w:t>專業銷售人才</w:t>
            </w:r>
          </w:p>
        </w:tc>
        <w:tc>
          <w:tcPr>
            <w:tcW w:w="2835" w:type="dxa"/>
            <w:vMerge/>
          </w:tcPr>
          <w:p w:rsidR="007F1A21" w:rsidRPr="008B3D88" w:rsidRDefault="007F1A21" w:rsidP="00DD420C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7F1A21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1.掌握顧客的需求，增加顧客的購買意願，以提升銷售效率及效益</w:t>
            </w:r>
          </w:p>
          <w:p w:rsidR="007F1A21" w:rsidRPr="008B3D88" w:rsidRDefault="007F1A21" w:rsidP="00DD420C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2.進行售後服務及客戶關係管理</w:t>
            </w:r>
          </w:p>
        </w:tc>
      </w:tr>
    </w:tbl>
    <w:p w:rsidR="00EC1DE3" w:rsidRDefault="00EC1DE3" w:rsidP="00FF59B0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682D70" w:rsidRPr="004E278F" w:rsidRDefault="00682D70" w:rsidP="00682D70">
      <w:pPr>
        <w:rPr>
          <w:rFonts w:ascii="Times New Roman" w:hAnsi="Times New Roman"/>
          <w:b/>
          <w:lang w:eastAsia="zh-TW"/>
        </w:rPr>
      </w:pPr>
      <w:r w:rsidRPr="004E278F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682D70" w:rsidRPr="004E278F" w:rsidRDefault="00682D70" w:rsidP="00682D70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4E278F">
        <w:rPr>
          <w:rFonts w:ascii="Times New Roman" w:hAnsi="Times New Roman" w:hint="eastAsia"/>
          <w:lang w:eastAsia="zh-TW"/>
        </w:rPr>
        <w:t>1.</w:t>
      </w:r>
      <w:r w:rsidRPr="004E278F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682D70" w:rsidRPr="004E278F" w:rsidRDefault="00682D70" w:rsidP="00682D70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4E278F">
        <w:rPr>
          <w:rFonts w:ascii="Times New Roman" w:hAnsi="Times New Roman" w:hint="eastAsia"/>
          <w:lang w:eastAsia="zh-TW"/>
        </w:rPr>
        <w:t>2.</w:t>
      </w:r>
      <w:r w:rsidRPr="004E278F">
        <w:rPr>
          <w:rFonts w:ascii="Times New Roman" w:hAnsi="Times New Roman" w:hint="eastAsia"/>
          <w:lang w:eastAsia="zh-TW"/>
        </w:rPr>
        <w:t>在實習</w:t>
      </w:r>
      <w:proofErr w:type="gramStart"/>
      <w:r w:rsidRPr="004E278F">
        <w:rPr>
          <w:rFonts w:ascii="Times New Roman" w:hAnsi="Times New Roman" w:hint="eastAsia"/>
          <w:lang w:eastAsia="zh-TW"/>
        </w:rPr>
        <w:t>期間，</w:t>
      </w:r>
      <w:proofErr w:type="gramEnd"/>
      <w:r w:rsidRPr="004E278F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4E278F">
        <w:rPr>
          <w:rFonts w:ascii="Times New Roman" w:hAnsi="Times New Roman"/>
          <w:lang w:eastAsia="zh-TW"/>
        </w:rPr>
        <w:t>(</w:t>
      </w:r>
      <w:r w:rsidRPr="004E278F">
        <w:rPr>
          <w:rFonts w:ascii="Times New Roman" w:hAnsi="Times New Roman" w:hint="eastAsia"/>
          <w:lang w:eastAsia="zh-TW"/>
        </w:rPr>
        <w:t>如</w:t>
      </w:r>
      <w:r w:rsidRPr="004E278F">
        <w:rPr>
          <w:rFonts w:ascii="Times New Roman" w:hAnsi="Times New Roman"/>
          <w:lang w:eastAsia="zh-TW"/>
        </w:rPr>
        <w:t>Line</w:t>
      </w:r>
      <w:proofErr w:type="gramStart"/>
      <w:r w:rsidRPr="004E278F">
        <w:rPr>
          <w:rFonts w:ascii="Times New Roman" w:hAnsi="Times New Roman" w:hint="eastAsia"/>
          <w:lang w:eastAsia="zh-TW"/>
        </w:rPr>
        <w:t>截</w:t>
      </w:r>
      <w:proofErr w:type="gramEnd"/>
      <w:r w:rsidRPr="004E278F">
        <w:rPr>
          <w:rFonts w:ascii="Times New Roman" w:hAnsi="Times New Roman" w:hint="eastAsia"/>
          <w:lang w:eastAsia="zh-TW"/>
        </w:rPr>
        <w:t>圖、通話</w:t>
      </w:r>
      <w:proofErr w:type="gramStart"/>
      <w:r w:rsidRPr="004E278F">
        <w:rPr>
          <w:rFonts w:ascii="Times New Roman" w:hAnsi="Times New Roman" w:hint="eastAsia"/>
          <w:lang w:eastAsia="zh-TW"/>
        </w:rPr>
        <w:t>紀錄截</w:t>
      </w:r>
      <w:proofErr w:type="gramEnd"/>
      <w:r w:rsidRPr="004E278F">
        <w:rPr>
          <w:rFonts w:ascii="Times New Roman" w:hAnsi="Times New Roman" w:hint="eastAsia"/>
          <w:lang w:eastAsia="zh-TW"/>
        </w:rPr>
        <w:t>圖、</w:t>
      </w:r>
      <w:r w:rsidRPr="004E278F">
        <w:rPr>
          <w:rFonts w:ascii="Times New Roman" w:hAnsi="Times New Roman"/>
          <w:lang w:eastAsia="zh-TW"/>
        </w:rPr>
        <w:t>email</w:t>
      </w:r>
      <w:proofErr w:type="gramStart"/>
      <w:r w:rsidRPr="004E278F">
        <w:rPr>
          <w:rFonts w:ascii="Times New Roman" w:hAnsi="Times New Roman" w:hint="eastAsia"/>
          <w:lang w:eastAsia="zh-TW"/>
        </w:rPr>
        <w:t>截</w:t>
      </w:r>
      <w:proofErr w:type="gramEnd"/>
      <w:r w:rsidRPr="004E278F">
        <w:rPr>
          <w:rFonts w:ascii="Times New Roman" w:hAnsi="Times New Roman" w:hint="eastAsia"/>
          <w:lang w:eastAsia="zh-TW"/>
        </w:rPr>
        <w:t>圖、</w:t>
      </w:r>
      <w:r w:rsidRPr="004E278F">
        <w:rPr>
          <w:rFonts w:ascii="Times New Roman" w:hAnsi="Times New Roman"/>
          <w:lang w:eastAsia="zh-TW"/>
        </w:rPr>
        <w:t>IG</w:t>
      </w:r>
      <w:proofErr w:type="gramStart"/>
      <w:r w:rsidRPr="004E278F">
        <w:rPr>
          <w:rFonts w:ascii="Times New Roman" w:hAnsi="Times New Roman" w:hint="eastAsia"/>
          <w:lang w:eastAsia="zh-TW"/>
        </w:rPr>
        <w:t>對話截</w:t>
      </w:r>
      <w:proofErr w:type="gramEnd"/>
      <w:r w:rsidRPr="004E278F">
        <w:rPr>
          <w:rFonts w:ascii="Times New Roman" w:hAnsi="Times New Roman" w:hint="eastAsia"/>
          <w:lang w:eastAsia="zh-TW"/>
        </w:rPr>
        <w:t>圖、</w:t>
      </w:r>
      <w:r w:rsidRPr="004E278F">
        <w:rPr>
          <w:rFonts w:ascii="Times New Roman" w:hAnsi="Times New Roman"/>
          <w:lang w:eastAsia="zh-TW"/>
        </w:rPr>
        <w:t>messenger</w:t>
      </w:r>
      <w:proofErr w:type="gramStart"/>
      <w:r w:rsidRPr="004E278F">
        <w:rPr>
          <w:rFonts w:ascii="Times New Roman" w:hAnsi="Times New Roman" w:hint="eastAsia"/>
          <w:lang w:eastAsia="zh-TW"/>
        </w:rPr>
        <w:t>截</w:t>
      </w:r>
      <w:proofErr w:type="gramEnd"/>
      <w:r w:rsidRPr="004E278F">
        <w:rPr>
          <w:rFonts w:ascii="Times New Roman" w:hAnsi="Times New Roman" w:hint="eastAsia"/>
          <w:lang w:eastAsia="zh-TW"/>
        </w:rPr>
        <w:t>圖</w:t>
      </w:r>
      <w:r w:rsidRPr="004E278F">
        <w:rPr>
          <w:rFonts w:ascii="Times New Roman" w:hAnsi="Times New Roman"/>
          <w:lang w:eastAsia="zh-TW"/>
        </w:rPr>
        <w:t>)</w:t>
      </w:r>
      <w:r w:rsidRPr="004E278F">
        <w:rPr>
          <w:rFonts w:ascii="Times New Roman" w:hAnsi="Times New Roman" w:hint="eastAsia"/>
          <w:lang w:eastAsia="zh-TW"/>
        </w:rPr>
        <w:t>。</w:t>
      </w:r>
    </w:p>
    <w:p w:rsidR="00682D70" w:rsidRPr="007F2152" w:rsidRDefault="00682D70" w:rsidP="00682D70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7F2152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EC1DE3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EC1DE3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EC1DE3" w:rsidRDefault="00EC1DE3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EC1DE3" w:rsidRDefault="00EC1DE3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EC1DE3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EC1DE3" w:rsidRDefault="00EC1DE3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EC1DE3" w:rsidRDefault="00EC1DE3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EC1DE3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EC1DE3" w:rsidRDefault="00EC1DE3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EC1DE3" w:rsidRDefault="00EC1DE3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EC1DE3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A6" w:rsidRDefault="003B4AA6">
      <w:r>
        <w:separator/>
      </w:r>
    </w:p>
  </w:endnote>
  <w:endnote w:type="continuationSeparator" w:id="0">
    <w:p w:rsidR="003B4AA6" w:rsidRDefault="003B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711949"/>
      <w:docPartObj>
        <w:docPartGallery w:val="Page Numbers (Bottom of Page)"/>
        <w:docPartUnique/>
      </w:docPartObj>
    </w:sdtPr>
    <w:sdtEndPr/>
    <w:sdtContent>
      <w:p w:rsidR="004E278F" w:rsidRDefault="004E27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4E278F" w:rsidRDefault="004E27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A6" w:rsidRDefault="003B4AA6">
      <w:r>
        <w:separator/>
      </w:r>
    </w:p>
  </w:footnote>
  <w:footnote w:type="continuationSeparator" w:id="0">
    <w:p w:rsidR="003B4AA6" w:rsidRDefault="003B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7F2152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682D70">
            <w:rPr>
              <w:rFonts w:hint="eastAsia"/>
              <w:lang w:eastAsia="zh-TW"/>
            </w:rPr>
            <w:t>9</w:t>
          </w:r>
          <w:r w:rsidR="004E278F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7F2152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7F2152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37C31"/>
    <w:rsid w:val="00143779"/>
    <w:rsid w:val="001D4273"/>
    <w:rsid w:val="001D454D"/>
    <w:rsid w:val="001F7575"/>
    <w:rsid w:val="002072C9"/>
    <w:rsid w:val="00214501"/>
    <w:rsid w:val="002435D5"/>
    <w:rsid w:val="0025623B"/>
    <w:rsid w:val="00295DA4"/>
    <w:rsid w:val="00307094"/>
    <w:rsid w:val="00307C37"/>
    <w:rsid w:val="0031641C"/>
    <w:rsid w:val="00345827"/>
    <w:rsid w:val="0038312A"/>
    <w:rsid w:val="003B3B91"/>
    <w:rsid w:val="003B4AA6"/>
    <w:rsid w:val="003F2096"/>
    <w:rsid w:val="00416109"/>
    <w:rsid w:val="00424A96"/>
    <w:rsid w:val="004618B7"/>
    <w:rsid w:val="00486ED2"/>
    <w:rsid w:val="00491A55"/>
    <w:rsid w:val="004A49CE"/>
    <w:rsid w:val="004E278F"/>
    <w:rsid w:val="004F152B"/>
    <w:rsid w:val="004F52C5"/>
    <w:rsid w:val="004F6F44"/>
    <w:rsid w:val="00551560"/>
    <w:rsid w:val="00554F9B"/>
    <w:rsid w:val="00591941"/>
    <w:rsid w:val="00592E64"/>
    <w:rsid w:val="005B3B87"/>
    <w:rsid w:val="005E4A01"/>
    <w:rsid w:val="006258E4"/>
    <w:rsid w:val="00625E39"/>
    <w:rsid w:val="006265F8"/>
    <w:rsid w:val="006313FD"/>
    <w:rsid w:val="00644EF9"/>
    <w:rsid w:val="00657999"/>
    <w:rsid w:val="00682D70"/>
    <w:rsid w:val="00686F76"/>
    <w:rsid w:val="00687CB2"/>
    <w:rsid w:val="006C0DD6"/>
    <w:rsid w:val="007429B5"/>
    <w:rsid w:val="00782435"/>
    <w:rsid w:val="007C21DF"/>
    <w:rsid w:val="007C4806"/>
    <w:rsid w:val="007F1A21"/>
    <w:rsid w:val="007F2152"/>
    <w:rsid w:val="007F6E12"/>
    <w:rsid w:val="00802B94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1674"/>
    <w:rsid w:val="009C5A2A"/>
    <w:rsid w:val="009F5A2E"/>
    <w:rsid w:val="00A00C86"/>
    <w:rsid w:val="00A01FE3"/>
    <w:rsid w:val="00A301F1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E25E5"/>
    <w:rsid w:val="00BF5EFF"/>
    <w:rsid w:val="00C36720"/>
    <w:rsid w:val="00CC6DA2"/>
    <w:rsid w:val="00D071B3"/>
    <w:rsid w:val="00D30EC1"/>
    <w:rsid w:val="00D51658"/>
    <w:rsid w:val="00D64523"/>
    <w:rsid w:val="00D65900"/>
    <w:rsid w:val="00D70A0E"/>
    <w:rsid w:val="00DD420C"/>
    <w:rsid w:val="00E00952"/>
    <w:rsid w:val="00E617AE"/>
    <w:rsid w:val="00E6720C"/>
    <w:rsid w:val="00E74EEB"/>
    <w:rsid w:val="00EC1DE3"/>
    <w:rsid w:val="00F2271B"/>
    <w:rsid w:val="00F43E8A"/>
    <w:rsid w:val="00F54216"/>
    <w:rsid w:val="00F647B6"/>
    <w:rsid w:val="00F75FC6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BDE3-7586-457F-807A-1D48EAB5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>TUT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6</cp:revision>
  <cp:lastPrinted>2018-01-15T01:36:00Z</cp:lastPrinted>
  <dcterms:created xsi:type="dcterms:W3CDTF">2026-03-16T07:26:00Z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